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FDF" w:rsidRDefault="00650FDF">
      <w:pPr>
        <w:pStyle w:val="Default"/>
        <w:jc w:val="center"/>
      </w:pPr>
    </w:p>
    <w:p w:rsidR="00650FDF" w:rsidRDefault="00A111B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</w:t>
      </w:r>
      <w:r>
        <w:rPr>
          <w:sz w:val="29"/>
          <w:szCs w:val="29"/>
        </w:rPr>
        <w:t>реализация трубы б/у с последующим демонтажем бездействующего трубопровода</w:t>
      </w:r>
    </w:p>
    <w:tbl>
      <w:tblPr>
        <w:tblW w:w="101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03"/>
      </w:tblGrid>
      <w:tr w:rsidR="00650FDF">
        <w:trPr>
          <w:trHeight w:val="107"/>
        </w:trPr>
        <w:tc>
          <w:tcPr>
            <w:tcW w:w="10103" w:type="dxa"/>
          </w:tcPr>
          <w:p w:rsidR="00650FDF" w:rsidRDefault="00650FDF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</w:pPr>
          </w:p>
          <w:p w:rsidR="00650FDF" w:rsidRDefault="00A111BB">
            <w:pPr>
              <w:pStyle w:val="Default"/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[ срок подачи документов с </w:t>
            </w:r>
            <w:r w:rsidR="00461CA2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>13.04.2021 по</w:t>
            </w:r>
            <w:r w:rsidR="00490837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 26.04.2021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] </w:t>
            </w:r>
          </w:p>
          <w:p w:rsidR="00650FDF" w:rsidRDefault="00650FDF">
            <w:pPr>
              <w:pStyle w:val="Default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5341"/>
            </w:tblGrid>
            <w:tr w:rsidR="00650FDF" w:rsidTr="00490837">
              <w:tc>
                <w:tcPr>
                  <w:tcW w:w="4531" w:type="dxa"/>
                </w:tcPr>
                <w:p w:rsidR="00650FDF" w:rsidRDefault="00A111B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Наименование предприятия:</w:t>
                  </w:r>
                </w:p>
              </w:tc>
              <w:tc>
                <w:tcPr>
                  <w:tcW w:w="5341" w:type="dxa"/>
                </w:tcPr>
                <w:p w:rsidR="00650FDF" w:rsidRDefault="00A111B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ОАО «Удмуртнефть»</w:t>
                  </w:r>
                </w:p>
              </w:tc>
            </w:tr>
            <w:tr w:rsidR="00650FDF" w:rsidTr="00490837">
              <w:tc>
                <w:tcPr>
                  <w:tcW w:w="4531" w:type="dxa"/>
                </w:tcPr>
                <w:p w:rsidR="00650FDF" w:rsidRDefault="00A111B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Плановые сроки вывоза имущества:</w:t>
                  </w:r>
                </w:p>
              </w:tc>
              <w:tc>
                <w:tcPr>
                  <w:tcW w:w="5341" w:type="dxa"/>
                </w:tcPr>
                <w:p w:rsidR="00650FDF" w:rsidRDefault="00490837" w:rsidP="00490837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3 мес. с момента подписания договора</w:t>
                  </w:r>
                </w:p>
              </w:tc>
            </w:tr>
            <w:tr w:rsidR="00650FDF" w:rsidTr="00490837">
              <w:tc>
                <w:tcPr>
                  <w:tcW w:w="4531" w:type="dxa"/>
                </w:tcPr>
                <w:p w:rsidR="00650FDF" w:rsidRDefault="00A111B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Предмет квалификации:</w:t>
                  </w:r>
                </w:p>
              </w:tc>
              <w:tc>
                <w:tcPr>
                  <w:tcW w:w="5341" w:type="dxa"/>
                </w:tcPr>
                <w:p w:rsidR="00650FDF" w:rsidRDefault="00490837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Штанга насосная 19 б/у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650FDF" w:rsidTr="00490837">
              <w:trPr>
                <w:trHeight w:val="85"/>
              </w:trPr>
              <w:tc>
                <w:tcPr>
                  <w:tcW w:w="4531" w:type="dxa"/>
                </w:tcPr>
                <w:p w:rsidR="00650FDF" w:rsidRDefault="00A111BB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 xml:space="preserve">Предмет реализации </w:t>
                  </w:r>
                </w:p>
              </w:tc>
              <w:tc>
                <w:tcPr>
                  <w:tcW w:w="5341" w:type="dxa"/>
                </w:tcPr>
                <w:p w:rsidR="00650FDF" w:rsidRDefault="00490837" w:rsidP="00461CA2">
                  <w:pPr>
                    <w:pStyle w:val="Default"/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3"/>
                      <w:szCs w:val="23"/>
                    </w:rPr>
                    <w:t>Штанга насосная 19 б/у в количестве 12 000 шт.</w:t>
                  </w:r>
                  <w:bookmarkStart w:id="0" w:name="_GoBack"/>
                  <w:bookmarkEnd w:id="0"/>
                </w:p>
              </w:tc>
            </w:tr>
          </w:tbl>
          <w:p w:rsidR="00650FDF" w:rsidRDefault="00650FDF">
            <w:pPr>
              <w:pStyle w:val="Default"/>
              <w:rPr>
                <w:sz w:val="23"/>
                <w:szCs w:val="23"/>
              </w:rPr>
            </w:pPr>
          </w:p>
        </w:tc>
      </w:tr>
      <w:tr w:rsidR="00650FDF">
        <w:trPr>
          <w:trHeight w:val="107"/>
        </w:trPr>
        <w:tc>
          <w:tcPr>
            <w:tcW w:w="10103" w:type="dxa"/>
          </w:tcPr>
          <w:p w:rsidR="00650FDF" w:rsidRDefault="00A111BB">
            <w:pPr>
              <w:pStyle w:val="Default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  <w:u w:val="single"/>
        </w:rPr>
        <w:t>Условие оплаты:</w:t>
      </w:r>
      <w:r>
        <w:rPr>
          <w:rFonts w:eastAsiaTheme="minorEastAsia"/>
          <w:sz w:val="28"/>
          <w:szCs w:val="28"/>
        </w:rPr>
        <w:t xml:space="preserve"> </w:t>
      </w:r>
    </w:p>
    <w:p w:rsidR="00490837" w:rsidRDefault="00490837" w:rsidP="0049083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Предварительная оплата  двумя частями: </w:t>
      </w:r>
    </w:p>
    <w:p w:rsidR="00490837" w:rsidRDefault="00490837" w:rsidP="0049083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1 часть</w:t>
      </w:r>
      <w:r>
        <w:rPr>
          <w:rFonts w:eastAsiaTheme="minorEastAsia"/>
          <w:sz w:val="28"/>
          <w:szCs w:val="28"/>
        </w:rPr>
        <w:t xml:space="preserve"> -50% предоплата ( в течение 10 банковских дней со дня получения счета на предварительную оплату)</w:t>
      </w:r>
      <w:proofErr w:type="gramStart"/>
      <w:r>
        <w:rPr>
          <w:rFonts w:eastAsiaTheme="minorEastAsia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0"/>
        </w:rPr>
        <w:t>,</w:t>
      </w:r>
      <w:proofErr w:type="gramEnd"/>
      <w:r>
        <w:rPr>
          <w:rFonts w:ascii="Arial" w:eastAsiaTheme="minorEastAsia" w:hAnsi="Arial" w:cs="Arial"/>
          <w:sz w:val="20"/>
        </w:rPr>
        <w:t xml:space="preserve"> </w:t>
      </w:r>
      <w:r>
        <w:rPr>
          <w:rFonts w:eastAsiaTheme="minorEastAsia"/>
          <w:sz w:val="28"/>
          <w:szCs w:val="28"/>
        </w:rPr>
        <w:t>вывоз товара в объеме 40 % от общего объема лота в течение 45  календарных дней с момента поступления оплаты;</w:t>
      </w:r>
    </w:p>
    <w:p w:rsidR="00490837" w:rsidRDefault="00490837" w:rsidP="00490837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2 часть</w:t>
      </w:r>
      <w:r>
        <w:rPr>
          <w:rFonts w:eastAsiaTheme="minorEastAsia"/>
          <w:sz w:val="28"/>
          <w:szCs w:val="28"/>
        </w:rPr>
        <w:t xml:space="preserve"> – оплата оставшихся 50 % (не позднее 45  календарных дней с момента осуществления оплаты первых 50 % стоимости), вывоз оставшегося товара в объеме 60 % до окончания срока действия договора.</w:t>
      </w:r>
    </w:p>
    <w:p w:rsidR="00490837" w:rsidRDefault="00490837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color w:val="FF0000"/>
          <w:sz w:val="28"/>
          <w:szCs w:val="28"/>
          <w:u w:val="single"/>
        </w:rPr>
      </w:pP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b/>
          <w:bCs/>
          <w:color w:val="FF0000"/>
          <w:sz w:val="28"/>
          <w:szCs w:val="28"/>
          <w:u w:val="single"/>
        </w:rPr>
        <w:t>Обязательными условиями</w:t>
      </w:r>
      <w:r>
        <w:rPr>
          <w:rFonts w:eastAsiaTheme="minorEastAsia"/>
          <w:b/>
          <w:bCs/>
          <w:sz w:val="28"/>
          <w:szCs w:val="28"/>
          <w:u w:val="single"/>
        </w:rPr>
        <w:t xml:space="preserve">  </w:t>
      </w:r>
      <w:r>
        <w:rPr>
          <w:rFonts w:eastAsiaTheme="minorEastAsia"/>
          <w:sz w:val="28"/>
          <w:szCs w:val="28"/>
          <w:u w:val="single"/>
        </w:rPr>
        <w:t xml:space="preserve">Вашего участия в процедуре реализации являются: </w:t>
      </w:r>
    </w:p>
    <w:p w:rsidR="00650FDF" w:rsidRDefault="00A111B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  <w:r w:rsidR="00461CA2">
        <w:rPr>
          <w:rFonts w:ascii="Arial" w:eastAsiaTheme="minorEastAsia" w:hAnsi="Arial" w:cs="Arial"/>
          <w:sz w:val="28"/>
          <w:szCs w:val="28"/>
        </w:rPr>
        <w:t xml:space="preserve">    </w:t>
      </w:r>
      <w:r>
        <w:rPr>
          <w:rFonts w:eastAsiaTheme="minorEastAsia"/>
          <w:sz w:val="28"/>
          <w:szCs w:val="28"/>
        </w:rPr>
        <w:t xml:space="preserve">Соответствие оферты приложенной форме </w:t>
      </w:r>
    </w:p>
    <w:p w:rsidR="00650FDF" w:rsidRDefault="00A111B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2.</w:t>
      </w:r>
      <w:r w:rsidR="00461CA2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Соответствие перечню квалификационных требований и требованиям к заявкам участников </w:t>
      </w:r>
    </w:p>
    <w:p w:rsidR="00650FDF" w:rsidRDefault="00A111B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 w:rsidR="00461CA2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 xml:space="preserve">Наличие </w:t>
      </w:r>
      <w:proofErr w:type="gramStart"/>
      <w:r>
        <w:rPr>
          <w:rFonts w:eastAsiaTheme="minorEastAsia"/>
          <w:sz w:val="28"/>
          <w:szCs w:val="28"/>
        </w:rPr>
        <w:t>скан-копии</w:t>
      </w:r>
      <w:proofErr w:type="gramEnd"/>
      <w:r>
        <w:rPr>
          <w:rFonts w:eastAsiaTheme="minorEastAsia"/>
          <w:sz w:val="28"/>
          <w:szCs w:val="28"/>
        </w:rPr>
        <w:t xml:space="preserve"> подписанного договора купли-продажи и приложений к нему на заявляемый Лот </w:t>
      </w:r>
    </w:p>
    <w:p w:rsidR="00650FDF" w:rsidRDefault="00A111B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4.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Своевременное представление комплекта документов, в установленные условиями процедуры сроки. </w:t>
      </w:r>
    </w:p>
    <w:p w:rsidR="00650FDF" w:rsidRDefault="00A111B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  <w:r w:rsidR="00461CA2"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Соответствие комплекта документов по составу, содержанию, оформлению и порядку подачи, предусмотренному условиями процедуры. </w:t>
      </w:r>
    </w:p>
    <w:p w:rsidR="00461CA2" w:rsidRDefault="00461CA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Важная информация: </w:t>
      </w:r>
    </w:p>
    <w:p w:rsidR="00650FDF" w:rsidRDefault="00650FD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Выбор победителя процедуры реализации будет определяться исходя из </w:t>
      </w:r>
      <w:r>
        <w:rPr>
          <w:rFonts w:eastAsiaTheme="minorEastAsia"/>
          <w:sz w:val="28"/>
          <w:szCs w:val="28"/>
          <w:u w:val="single"/>
        </w:rPr>
        <w:t>максимальной стоимости</w:t>
      </w:r>
      <w:r>
        <w:rPr>
          <w:rFonts w:eastAsiaTheme="minorEastAsia"/>
          <w:sz w:val="28"/>
          <w:szCs w:val="28"/>
        </w:rPr>
        <w:t>, на основании полученных ценовых предложений.</w:t>
      </w: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https://sale.tektorg.ru в следующем порядке:</w:t>
      </w: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color w:val="FF0000"/>
          <w:sz w:val="28"/>
          <w:szCs w:val="28"/>
        </w:rPr>
        <w:t xml:space="preserve">- </w:t>
      </w:r>
      <w:r>
        <w:rPr>
          <w:rFonts w:eastAsiaTheme="minorEastAsia"/>
          <w:b/>
          <w:color w:val="FF0000"/>
          <w:sz w:val="28"/>
          <w:szCs w:val="28"/>
        </w:rPr>
        <w:t>Архив №1</w:t>
      </w:r>
      <w:r>
        <w:rPr>
          <w:rFonts w:eastAsiaTheme="minorEastAsia"/>
          <w:sz w:val="28"/>
          <w:szCs w:val="28"/>
        </w:rPr>
        <w:t xml:space="preserve"> – документы, предусмотренные Перечнем квалификационных требований и требованиями к заявкам участников (</w:t>
      </w:r>
      <w:r w:rsidR="00461CA2">
        <w:rPr>
          <w:rFonts w:eastAsiaTheme="minorEastAsia"/>
          <w:i/>
          <w:sz w:val="28"/>
          <w:szCs w:val="28"/>
        </w:rPr>
        <w:t>приложение № 3</w:t>
      </w:r>
      <w:r>
        <w:rPr>
          <w:rFonts w:eastAsiaTheme="minorEastAsia"/>
          <w:i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 – предоставляется в раздел «Техническая часть предложения»;</w:t>
      </w: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>
        <w:rPr>
          <w:rFonts w:eastAsiaTheme="minorEastAsia"/>
          <w:b/>
          <w:color w:val="FF0000"/>
          <w:sz w:val="28"/>
          <w:szCs w:val="28"/>
        </w:rPr>
        <w:t>Архив №2</w:t>
      </w:r>
      <w:r>
        <w:rPr>
          <w:rFonts w:eastAsiaTheme="minorEastAsia"/>
          <w:sz w:val="28"/>
          <w:szCs w:val="28"/>
        </w:rPr>
        <w:t xml:space="preserve"> – оферты установленной формы (</w:t>
      </w:r>
      <w:r>
        <w:rPr>
          <w:rFonts w:eastAsiaTheme="minorEastAsia"/>
          <w:i/>
          <w:sz w:val="28"/>
          <w:szCs w:val="28"/>
        </w:rPr>
        <w:t>приложение №2</w:t>
      </w:r>
      <w:r>
        <w:rPr>
          <w:rFonts w:eastAsiaTheme="minorEastAsia"/>
          <w:sz w:val="28"/>
          <w:szCs w:val="28"/>
        </w:rPr>
        <w:t xml:space="preserve">) с печатью предприятия и подписью руководителя, а также </w:t>
      </w:r>
      <w:r>
        <w:rPr>
          <w:rFonts w:eastAsiaTheme="minorEastAsia"/>
          <w:b/>
          <w:sz w:val="28"/>
          <w:szCs w:val="28"/>
        </w:rPr>
        <w:t>в формате EXCEL</w:t>
      </w:r>
      <w:r>
        <w:rPr>
          <w:rFonts w:eastAsiaTheme="minorEastAsia"/>
          <w:sz w:val="28"/>
          <w:szCs w:val="28"/>
        </w:rPr>
        <w:t xml:space="preserve"> и </w:t>
      </w:r>
      <w:r>
        <w:rPr>
          <w:rFonts w:eastAsiaTheme="minorEastAsia"/>
          <w:b/>
          <w:sz w:val="28"/>
          <w:szCs w:val="28"/>
        </w:rPr>
        <w:lastRenderedPageBreak/>
        <w:t>договоры купли-продажи</w:t>
      </w:r>
      <w:r>
        <w:rPr>
          <w:rFonts w:eastAsiaTheme="minorEastAsia"/>
          <w:sz w:val="28"/>
          <w:szCs w:val="28"/>
        </w:rPr>
        <w:t xml:space="preserve"> установленной формы </w:t>
      </w:r>
      <w:r>
        <w:rPr>
          <w:rFonts w:eastAsiaTheme="minorEastAsia"/>
          <w:i/>
          <w:sz w:val="28"/>
          <w:szCs w:val="28"/>
        </w:rPr>
        <w:t>(приложение №4)</w:t>
      </w:r>
      <w:r>
        <w:rPr>
          <w:rFonts w:eastAsiaTheme="minorEastAsia"/>
          <w:sz w:val="28"/>
          <w:szCs w:val="28"/>
        </w:rPr>
        <w:t xml:space="preserve"> с печатью предприятия и подписью руководителя, а также </w:t>
      </w:r>
      <w:r>
        <w:rPr>
          <w:rFonts w:eastAsiaTheme="minorEastAsia"/>
          <w:b/>
          <w:sz w:val="28"/>
          <w:szCs w:val="28"/>
        </w:rPr>
        <w:t>в формате WORD</w:t>
      </w:r>
      <w:r>
        <w:rPr>
          <w:rFonts w:eastAsiaTheme="minorEastAsia"/>
          <w:sz w:val="28"/>
          <w:szCs w:val="28"/>
        </w:rPr>
        <w:t xml:space="preserve"> – предоставляются в раздел «Коммерческая часть предложения».</w:t>
      </w:r>
    </w:p>
    <w:p w:rsidR="00650FDF" w:rsidRDefault="00650FDF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Окончание сбора технико-коммерческих предложений </w:t>
      </w:r>
      <w:r w:rsidR="00490837">
        <w:rPr>
          <w:rFonts w:eastAsiaTheme="minorEastAsia"/>
          <w:b/>
          <w:bCs/>
          <w:sz w:val="28"/>
          <w:szCs w:val="28"/>
          <w:u w:val="single"/>
        </w:rPr>
        <w:t>26.04.2021</w:t>
      </w:r>
      <w:r>
        <w:rPr>
          <w:rFonts w:eastAsiaTheme="minorEastAsia"/>
          <w:b/>
          <w:bCs/>
          <w:sz w:val="28"/>
          <w:szCs w:val="28"/>
        </w:rPr>
        <w:t xml:space="preserve"> года до </w:t>
      </w:r>
      <w:r>
        <w:rPr>
          <w:rFonts w:eastAsiaTheme="minorEastAsia"/>
          <w:b/>
          <w:bCs/>
          <w:sz w:val="28"/>
          <w:szCs w:val="28"/>
          <w:u w:val="single"/>
        </w:rPr>
        <w:t>1</w:t>
      </w:r>
      <w:r w:rsidR="00461CA2">
        <w:rPr>
          <w:rFonts w:eastAsiaTheme="minorEastAsia"/>
          <w:b/>
          <w:bCs/>
          <w:sz w:val="28"/>
          <w:szCs w:val="28"/>
          <w:u w:val="single"/>
        </w:rPr>
        <w:t>8</w:t>
      </w:r>
      <w:r>
        <w:rPr>
          <w:rFonts w:eastAsiaTheme="minorEastAsia"/>
          <w:b/>
          <w:bCs/>
          <w:sz w:val="28"/>
          <w:szCs w:val="28"/>
          <w:u w:val="single"/>
        </w:rPr>
        <w:t>:00</w:t>
      </w:r>
      <w:r>
        <w:rPr>
          <w:rFonts w:eastAsiaTheme="minorEastAsia"/>
          <w:b/>
          <w:bCs/>
          <w:sz w:val="28"/>
          <w:szCs w:val="28"/>
        </w:rPr>
        <w:t xml:space="preserve"> (время Московское).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ascii="Tahoma" w:eastAsiaTheme="minorEastAsia" w:hAnsi="Tahoma" w:cs="Tahom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https://sale.tektorg.ru.  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 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650FDF" w:rsidRDefault="00650FD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10"/>
          <w:szCs w:val="10"/>
        </w:rPr>
      </w:pP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ОАО «Удмуртнефть»</w:t>
      </w:r>
      <w:r>
        <w:rPr>
          <w:rFonts w:eastAsiaTheme="minorEastAsia"/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650FDF" w:rsidRDefault="00A111B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650FDF" w:rsidRDefault="00A111B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>
        <w:rPr>
          <w:rFonts w:ascii="Arial" w:eastAsiaTheme="minorEastAsia" w:hAnsi="Arial" w:cs="Arial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650FDF" w:rsidRDefault="00A111B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gramStart"/>
      <w:r>
        <w:rPr>
          <w:rFonts w:eastAsiaTheme="minorEastAsia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 оферты по любой из согласованных отгрузок,  ОАО «Удмуртнефть» будет иметь право реализовать соответствующий лот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</w:t>
      </w:r>
      <w:proofErr w:type="gramEnd"/>
      <w:r>
        <w:rPr>
          <w:rFonts w:eastAsiaTheme="minorEastAsia"/>
          <w:sz w:val="28"/>
          <w:szCs w:val="28"/>
        </w:rPr>
        <w:t xml:space="preserve"> в проводимых в ПАО «НК «Роснефть» конкурентных процедурах реализации. 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Не подписание победителем процедуры реализации договора купли-продажи в течение 10-ти рабочих дней со дня получения от Продавца подписанного договора, направленного посредством электронной почты, </w:t>
      </w:r>
      <w:r>
        <w:rPr>
          <w:rFonts w:eastAsiaTheme="minorEastAsia"/>
          <w:sz w:val="28"/>
          <w:szCs w:val="28"/>
        </w:rPr>
        <w:lastRenderedPageBreak/>
        <w:t xml:space="preserve">будет расцениваться ОАО «Удмуртнефть» как уклонение победителя процедуры реализации от оформления контракта (договора).  </w:t>
      </w:r>
    </w:p>
    <w:p w:rsidR="00650FDF" w:rsidRDefault="00A111B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 </w:t>
      </w:r>
    </w:p>
    <w:p w:rsidR="00650FDF" w:rsidRDefault="00650FD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:rsidR="00650FDF" w:rsidRDefault="00A111BB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sz w:val="32"/>
          <w:szCs w:val="23"/>
          <w:u w:val="single"/>
        </w:rPr>
      </w:pPr>
      <w:r>
        <w:rPr>
          <w:rFonts w:eastAsiaTheme="minorEastAsia"/>
          <w:b/>
          <w:bCs/>
          <w:i/>
          <w:iCs/>
          <w:sz w:val="32"/>
          <w:szCs w:val="23"/>
          <w:u w:val="single"/>
        </w:rPr>
        <w:t>Контактное лицо от  ОАО «Удмуртнефть»</w:t>
      </w:r>
    </w:p>
    <w:tbl>
      <w:tblPr>
        <w:tblStyle w:val="a5"/>
        <w:tblW w:w="0" w:type="auto"/>
        <w:tblLayout w:type="fixed"/>
        <w:tblLook w:val="0000" w:firstRow="0" w:lastRow="0" w:firstColumn="0" w:lastColumn="0" w:noHBand="0" w:noVBand="0"/>
      </w:tblPr>
      <w:tblGrid>
        <w:gridCol w:w="4772"/>
        <w:gridCol w:w="4772"/>
      </w:tblGrid>
      <w:tr w:rsidR="00650FDF">
        <w:trPr>
          <w:trHeight w:val="433"/>
        </w:trPr>
        <w:tc>
          <w:tcPr>
            <w:tcW w:w="4772" w:type="dxa"/>
          </w:tcPr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i/>
                <w:sz w:val="32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32"/>
                <w:szCs w:val="23"/>
              </w:rPr>
              <w:t xml:space="preserve">Князев Алексей Юрьевич </w:t>
            </w:r>
          </w:p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sz w:val="32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32"/>
                <w:szCs w:val="23"/>
              </w:rPr>
              <w:t xml:space="preserve">(процедурные вопросы) </w:t>
            </w:r>
          </w:p>
        </w:tc>
        <w:tc>
          <w:tcPr>
            <w:tcW w:w="4772" w:type="dxa"/>
          </w:tcPr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32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32"/>
                <w:szCs w:val="23"/>
              </w:rPr>
              <w:t>телефон: (3412) 48-74-46</w:t>
            </w:r>
          </w:p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32"/>
                <w:szCs w:val="23"/>
              </w:rPr>
            </w:pPr>
            <w:r>
              <w:rPr>
                <w:rFonts w:eastAsiaTheme="minorEastAsia"/>
                <w:b/>
                <w:bCs/>
                <w:sz w:val="32"/>
                <w:szCs w:val="23"/>
              </w:rPr>
              <w:t>адрес электронной почты:</w:t>
            </w:r>
          </w:p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sz w:val="32"/>
                <w:szCs w:val="23"/>
              </w:rPr>
            </w:pPr>
            <w:proofErr w:type="spellStart"/>
            <w:r>
              <w:rPr>
                <w:rFonts w:eastAsiaTheme="minorEastAsia"/>
                <w:sz w:val="32"/>
                <w:szCs w:val="23"/>
                <w:lang w:val="en-US"/>
              </w:rPr>
              <w:t>AYKnyazev</w:t>
            </w:r>
            <w:proofErr w:type="spellEnd"/>
            <w:r>
              <w:rPr>
                <w:rFonts w:eastAsiaTheme="minorEastAsia"/>
                <w:sz w:val="32"/>
                <w:szCs w:val="23"/>
              </w:rPr>
              <w:t>@</w:t>
            </w:r>
            <w:proofErr w:type="spellStart"/>
            <w:r>
              <w:rPr>
                <w:rFonts w:eastAsiaTheme="minorEastAsia"/>
                <w:sz w:val="32"/>
                <w:szCs w:val="23"/>
                <w:lang w:val="en-US"/>
              </w:rPr>
              <w:t>udmurtneft</w:t>
            </w:r>
            <w:proofErr w:type="spellEnd"/>
            <w:r>
              <w:rPr>
                <w:rFonts w:eastAsiaTheme="minorEastAsia"/>
                <w:sz w:val="32"/>
                <w:szCs w:val="23"/>
              </w:rPr>
              <w:t>.</w:t>
            </w:r>
            <w:proofErr w:type="spellStart"/>
            <w:r>
              <w:rPr>
                <w:rFonts w:eastAsiaTheme="minorEastAsia"/>
                <w:sz w:val="32"/>
                <w:szCs w:val="23"/>
                <w:lang w:val="en-US"/>
              </w:rPr>
              <w:t>ru</w:t>
            </w:r>
            <w:proofErr w:type="spellEnd"/>
          </w:p>
        </w:tc>
      </w:tr>
    </w:tbl>
    <w:p w:rsidR="00650FDF" w:rsidRDefault="00650FD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4"/>
          <w:highlight w:val="yellow"/>
        </w:rPr>
      </w:pPr>
    </w:p>
    <w:p w:rsidR="00650FDF" w:rsidRDefault="00A111BB">
      <w:pPr>
        <w:autoSpaceDE w:val="0"/>
        <w:autoSpaceDN w:val="0"/>
        <w:adjustRightInd w:val="0"/>
        <w:rPr>
          <w:rFonts w:eastAsiaTheme="minorEastAsia"/>
          <w:b/>
          <w:bCs/>
          <w:i/>
          <w:iCs/>
          <w:sz w:val="28"/>
          <w:szCs w:val="23"/>
          <w:u w:val="single"/>
        </w:rPr>
      </w:pPr>
      <w:r>
        <w:rPr>
          <w:rFonts w:eastAsiaTheme="minorEastAsia"/>
          <w:b/>
          <w:bCs/>
          <w:i/>
          <w:iCs/>
          <w:sz w:val="32"/>
          <w:szCs w:val="23"/>
          <w:u w:val="single"/>
        </w:rPr>
        <w:t xml:space="preserve">От </w:t>
      </w:r>
      <w:r>
        <w:rPr>
          <w:rFonts w:eastAsiaTheme="minorEastAsia"/>
          <w:b/>
          <w:bCs/>
          <w:i/>
          <w:iCs/>
          <w:sz w:val="28"/>
          <w:szCs w:val="23"/>
          <w:u w:val="single"/>
        </w:rPr>
        <w:t xml:space="preserve">АО «ТЭК-ТОРГ»: </w:t>
      </w: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6"/>
        <w:gridCol w:w="4638"/>
      </w:tblGrid>
      <w:tr w:rsidR="00650FDF">
        <w:trPr>
          <w:trHeight w:val="1120"/>
        </w:trPr>
        <w:tc>
          <w:tcPr>
            <w:tcW w:w="4786" w:type="dxa"/>
          </w:tcPr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  <w:t xml:space="preserve">Служба клиентской поддержки  </w:t>
            </w:r>
          </w:p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  <w:t xml:space="preserve">АО «ТЭК-Торг» </w:t>
            </w:r>
          </w:p>
        </w:tc>
        <w:tc>
          <w:tcPr>
            <w:tcW w:w="4638" w:type="dxa"/>
          </w:tcPr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  <w:t xml:space="preserve">телефон: +7 (495) 734-81-18 </w:t>
            </w:r>
          </w:p>
          <w:p w:rsidR="00650FDF" w:rsidRDefault="00A111B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</w:pPr>
            <w:r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  <w:t xml:space="preserve">адрес электронной почты:  </w:t>
            </w:r>
          </w:p>
          <w:p w:rsidR="00650FDF" w:rsidRDefault="00650FDF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</w:pPr>
          </w:p>
          <w:p w:rsidR="00650FDF" w:rsidRDefault="00490837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</w:pPr>
            <w:hyperlink r:id="rId7" w:history="1">
              <w:r w:rsidR="00A111BB">
                <w:rPr>
                  <w:rStyle w:val="a6"/>
                  <w:rFonts w:eastAsiaTheme="minorEastAsia"/>
                  <w:b/>
                  <w:bCs/>
                  <w:i/>
                  <w:iCs/>
                  <w:sz w:val="28"/>
                  <w:szCs w:val="23"/>
                </w:rPr>
                <w:t>help@tektorg.ru</w:t>
              </w:r>
            </w:hyperlink>
            <w:r w:rsidR="00A111BB">
              <w:rPr>
                <w:rFonts w:eastAsiaTheme="minorEastAsia"/>
                <w:b/>
                <w:bCs/>
                <w:i/>
                <w:iCs/>
                <w:sz w:val="28"/>
                <w:szCs w:val="23"/>
              </w:rPr>
              <w:t xml:space="preserve"> </w:t>
            </w:r>
          </w:p>
        </w:tc>
      </w:tr>
    </w:tbl>
    <w:p w:rsidR="00650FDF" w:rsidRDefault="00650FDF">
      <w:pPr>
        <w:widowControl w:val="0"/>
        <w:autoSpaceDE w:val="0"/>
        <w:autoSpaceDN w:val="0"/>
        <w:adjustRightInd w:val="0"/>
        <w:jc w:val="both"/>
        <w:rPr>
          <w:rFonts w:ascii="Tahoma" w:eastAsiaTheme="minorEastAsia" w:hAnsi="Tahoma" w:cs="Tahoma"/>
          <w:szCs w:val="24"/>
        </w:rPr>
      </w:pP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 </w:t>
      </w: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Данное приглашение делать </w:t>
      </w:r>
      <w:proofErr w:type="gramStart"/>
      <w:r>
        <w:rPr>
          <w:rFonts w:eastAsiaTheme="minorEastAsia"/>
          <w:b/>
          <w:bCs/>
          <w:sz w:val="28"/>
          <w:szCs w:val="28"/>
        </w:rPr>
        <w:t>оферты</w:t>
      </w:r>
      <w:proofErr w:type="gramEnd"/>
      <w:r>
        <w:rPr>
          <w:rFonts w:eastAsiaTheme="minorEastAsia"/>
          <w:b/>
          <w:bCs/>
          <w:sz w:val="28"/>
          <w:szCs w:val="28"/>
        </w:rPr>
        <w:t xml:space="preserve"> ни при </w:t>
      </w:r>
      <w:proofErr w:type="gramStart"/>
      <w:r>
        <w:rPr>
          <w:rFonts w:eastAsiaTheme="minorEastAsia"/>
          <w:b/>
          <w:bCs/>
          <w:sz w:val="28"/>
          <w:szCs w:val="28"/>
        </w:rPr>
        <w:t>каких</w:t>
      </w:r>
      <w:proofErr w:type="gramEnd"/>
      <w:r>
        <w:rPr>
          <w:rFonts w:eastAsiaTheme="minorEastAsia"/>
          <w:b/>
          <w:bCs/>
          <w:sz w:val="28"/>
          <w:szCs w:val="28"/>
        </w:rPr>
        <w:t xml:space="preserve"> обстоятельствах не должно рассматриваться в качестве юридически обязывающего документа, не является офертой.  </w:t>
      </w:r>
    </w:p>
    <w:p w:rsidR="00650FDF" w:rsidRDefault="00A111B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b/>
          <w:bCs/>
          <w:i/>
          <w:iCs/>
          <w:sz w:val="22"/>
          <w:szCs w:val="22"/>
        </w:rPr>
        <w:t xml:space="preserve"> </w:t>
      </w:r>
    </w:p>
    <w:p w:rsidR="00650FDF" w:rsidRDefault="00A111BB">
      <w:pPr>
        <w:autoSpaceDE w:val="0"/>
        <w:autoSpaceDN w:val="0"/>
        <w:adjustRightInd w:val="0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b/>
          <w:bCs/>
          <w:i/>
          <w:iCs/>
          <w:color w:val="000000"/>
          <w:sz w:val="22"/>
          <w:szCs w:val="22"/>
        </w:rPr>
        <w:t xml:space="preserve">Приложения: </w:t>
      </w:r>
    </w:p>
    <w:p w:rsidR="00650FDF" w:rsidRDefault="00A111BB">
      <w:pPr>
        <w:autoSpaceDE w:val="0"/>
        <w:autoSpaceDN w:val="0"/>
        <w:adjustRightInd w:val="0"/>
        <w:spacing w:after="21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i/>
          <w:iCs/>
          <w:color w:val="000000"/>
          <w:sz w:val="22"/>
          <w:szCs w:val="22"/>
        </w:rPr>
        <w:t xml:space="preserve">2. Форма оферты; </w:t>
      </w:r>
    </w:p>
    <w:p w:rsidR="00650FDF" w:rsidRDefault="00A111BB">
      <w:pPr>
        <w:autoSpaceDE w:val="0"/>
        <w:autoSpaceDN w:val="0"/>
        <w:adjustRightInd w:val="0"/>
        <w:spacing w:after="21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i/>
          <w:iCs/>
          <w:color w:val="000000"/>
          <w:sz w:val="22"/>
          <w:szCs w:val="22"/>
        </w:rPr>
        <w:t xml:space="preserve">3. Перечень квалификационных требований и требования к заявкам участников; </w:t>
      </w:r>
    </w:p>
    <w:p w:rsidR="00650FDF" w:rsidRDefault="00A111BB">
      <w:pPr>
        <w:autoSpaceDE w:val="0"/>
        <w:autoSpaceDN w:val="0"/>
        <w:adjustRightInd w:val="0"/>
        <w:spacing w:after="21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i/>
          <w:iCs/>
          <w:color w:val="000000"/>
          <w:sz w:val="22"/>
          <w:szCs w:val="22"/>
        </w:rPr>
        <w:t xml:space="preserve">4. Проект договора; </w:t>
      </w:r>
    </w:p>
    <w:p w:rsidR="00650FDF" w:rsidRDefault="00A111BB">
      <w:pPr>
        <w:autoSpaceDE w:val="0"/>
        <w:autoSpaceDN w:val="0"/>
        <w:adjustRightInd w:val="0"/>
        <w:spacing w:after="21"/>
        <w:rPr>
          <w:rFonts w:eastAsiaTheme="minorEastAsia"/>
          <w:i/>
          <w:iCs/>
          <w:color w:val="000000"/>
          <w:sz w:val="22"/>
          <w:szCs w:val="22"/>
        </w:rPr>
      </w:pPr>
      <w:r>
        <w:rPr>
          <w:rFonts w:eastAsiaTheme="minorEastAsia"/>
          <w:i/>
          <w:iCs/>
          <w:color w:val="000000"/>
          <w:sz w:val="22"/>
          <w:szCs w:val="22"/>
        </w:rPr>
        <w:t xml:space="preserve">5. Инструкция ПАО «НК «Роснефть» «Требования к поставщику Компании для участия в мелкой закупке»; </w:t>
      </w:r>
    </w:p>
    <w:p w:rsidR="00461CA2" w:rsidRDefault="00461CA2">
      <w:pPr>
        <w:autoSpaceDE w:val="0"/>
        <w:autoSpaceDN w:val="0"/>
        <w:adjustRightInd w:val="0"/>
        <w:spacing w:after="21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i/>
          <w:iCs/>
          <w:color w:val="000000"/>
          <w:sz w:val="22"/>
          <w:szCs w:val="22"/>
        </w:rPr>
        <w:t xml:space="preserve">6.Техническое задание </w:t>
      </w:r>
    </w:p>
    <w:p w:rsidR="00650FDF" w:rsidRDefault="00650FDF">
      <w:pPr>
        <w:widowControl w:val="0"/>
        <w:jc w:val="both"/>
        <w:rPr>
          <w:rFonts w:eastAsiaTheme="minorEastAsia"/>
          <w:i/>
          <w:iCs/>
          <w:color w:val="000000"/>
          <w:sz w:val="22"/>
          <w:szCs w:val="22"/>
        </w:rPr>
      </w:pPr>
    </w:p>
    <w:p w:rsidR="00650FDF" w:rsidRDefault="00650FDF"/>
    <w:sectPr w:rsidR="00650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832538"/>
    <w:multiLevelType w:val="hybridMultilevel"/>
    <w:tmpl w:val="390F735A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4CFC865"/>
    <w:multiLevelType w:val="hybridMultilevel"/>
    <w:tmpl w:val="D8E1DCA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FDF"/>
    <w:rsid w:val="00461CA2"/>
    <w:rsid w:val="00490837"/>
    <w:rsid w:val="00650FDF"/>
    <w:rsid w:val="00A1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rFonts w:eastAsia="Arial Unicode MS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rPr>
      <w:rFonts w:eastAsia="Arial Unicode MS"/>
      <w:sz w:val="28"/>
      <w:szCs w:val="24"/>
      <w:lang w:eastAsia="ru-RU"/>
    </w:rPr>
  </w:style>
  <w:style w:type="paragraph" w:styleId="a3">
    <w:name w:val="Title"/>
    <w:basedOn w:val="a"/>
    <w:link w:val="a4"/>
    <w:qFormat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Pr>
      <w:b/>
      <w:sz w:val="28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rFonts w:eastAsia="Arial Unicode MS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b/>
      <w:sz w:val="28"/>
      <w:lang w:eastAsia="ru-RU"/>
    </w:rPr>
  </w:style>
  <w:style w:type="character" w:customStyle="1" w:styleId="30">
    <w:name w:val="Заголовок 3 Знак"/>
    <w:basedOn w:val="a0"/>
    <w:link w:val="3"/>
    <w:rPr>
      <w:rFonts w:eastAsia="Arial Unicode MS"/>
      <w:sz w:val="28"/>
      <w:szCs w:val="24"/>
      <w:lang w:eastAsia="ru-RU"/>
    </w:rPr>
  </w:style>
  <w:style w:type="paragraph" w:styleId="a3">
    <w:name w:val="Title"/>
    <w:basedOn w:val="a"/>
    <w:link w:val="a4"/>
    <w:qFormat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Pr>
      <w:b/>
      <w:sz w:val="28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elp@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B2B52-A539-4ADA-A2BB-925F00AE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 Алексей Юрьевич  </dc:creator>
  <cp:keywords/>
  <dc:description/>
  <cp:lastModifiedBy>Администратор</cp:lastModifiedBy>
  <cp:revision>14</cp:revision>
  <dcterms:created xsi:type="dcterms:W3CDTF">2020-10-12T09:50:00Z</dcterms:created>
  <dcterms:modified xsi:type="dcterms:W3CDTF">2021-04-12T11:32:00Z</dcterms:modified>
</cp:coreProperties>
</file>